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23" w:rsidRPr="00A17223" w:rsidRDefault="00A17223" w:rsidP="00A17223">
      <w:pPr>
        <w:spacing w:after="0" w:line="225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Приказ Министерства здравоохранения РФ от 21 марта 2014 г. №       252н</w:t>
      </w:r>
    </w:p>
    <w:p w:rsidR="00A17223" w:rsidRPr="00A17223" w:rsidRDefault="00A17223" w:rsidP="00A17223">
      <w:pPr>
        <w:spacing w:after="0" w:line="225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«Об утверждении национального календаря профилактических прививок и календаря профилактических прививок по эпидемическим показаниям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  <w:r w:rsidRPr="00A17223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«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center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A17223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 </w:t>
      </w:r>
      <w:r w:rsidRPr="00A17223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„Национальный календарь профилактических прививок“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</w:p>
    <w:tbl>
      <w:tblPr>
        <w:tblW w:w="100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4428"/>
        <w:gridCol w:w="1825"/>
      </w:tblGrid>
      <w:tr w:rsidR="00A17223" w:rsidRPr="00A17223" w:rsidTr="00A17223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  <w:lang w:eastAsia="ru-RU"/>
              </w:rPr>
              <w:t> </w:t>
            </w:r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  <w:lang w:eastAsia="ru-RU"/>
              </w:rPr>
              <w:t>Возраст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  <w:lang w:eastAsia="ru-RU"/>
              </w:rPr>
              <w:t> </w:t>
            </w:r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  <w:lang w:eastAsia="ru-RU"/>
              </w:rPr>
              <w:t>Наименование прививки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  <w:t>Вакцины</w:t>
            </w:r>
          </w:p>
        </w:tc>
      </w:tr>
      <w:tr w:rsidR="00A17223" w:rsidRPr="00A17223" w:rsidTr="00A17223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Новорожденные (</w:t>
            </w:r>
            <w:proofErr w:type="gram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 первые</w:t>
            </w:r>
            <w:proofErr w:type="gramEnd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24 часа жизни)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Первая вакцинация против вирусного гепатита</w:t>
            </w:r>
            <w:proofErr w:type="gram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¹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Энджерикс</w:t>
              </w:r>
              <w:proofErr w:type="spellEnd"/>
              <w:proofErr w:type="gram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 xml:space="preserve"> В</w:t>
              </w:r>
              <w:proofErr w:type="gramEnd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 0,5</w:t>
              </w:r>
            </w:hyperlink>
          </w:p>
        </w:tc>
      </w:tr>
      <w:tr w:rsidR="00A17223" w:rsidRPr="00A17223" w:rsidTr="00A17223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Новорожденные (3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-7дней)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Вакцинация против туберкулеза</w:t>
            </w:r>
            <w:proofErr w:type="gram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БЦЖ-М</w:t>
            </w:r>
          </w:p>
        </w:tc>
      </w:tr>
      <w:tr w:rsidR="00A17223" w:rsidRPr="00A17223" w:rsidTr="00A17223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Дети 1 месяц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Вторая вакцинация против вирусного гепатита В</w:t>
            </w:r>
            <w:proofErr w:type="gram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Энджерикс</w:t>
              </w:r>
              <w:proofErr w:type="spellEnd"/>
              <w:proofErr w:type="gram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 xml:space="preserve"> В</w:t>
              </w:r>
              <w:proofErr w:type="gramEnd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 0,5</w:t>
              </w:r>
            </w:hyperlink>
          </w:p>
        </w:tc>
      </w:tr>
      <w:tr w:rsidR="00A17223" w:rsidRPr="00A17223" w:rsidTr="00A17223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 2 месяца</w:t>
            </w:r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Третья вакцинация против вирусного гепатита</w:t>
            </w:r>
            <w:proofErr w:type="gram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(группы риска)</w:t>
            </w: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Первая вакцинация против пневмококковой инфекции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Энджерикс</w:t>
              </w:r>
              <w:proofErr w:type="spellEnd"/>
              <w:proofErr w:type="gram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 xml:space="preserve"> В</w:t>
              </w:r>
              <w:proofErr w:type="gramEnd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 0,5</w:t>
              </w:r>
            </w:hyperlink>
            <w:r w:rsidRPr="00A172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A17223">
              <w:rPr>
                <w:rFonts w:ascii="Arial" w:eastAsia="Times New Roman" w:hAnsi="Arial" w:cs="Arial"/>
                <w:color w:val="444444"/>
                <w:sz w:val="20"/>
                <w:szCs w:val="20"/>
                <w:u w:val="single"/>
                <w:lang w:eastAsia="ru-RU"/>
              </w:rPr>
              <w:t> </w:t>
            </w:r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Превенар</w:t>
              </w:r>
              <w:proofErr w:type="spellEnd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 xml:space="preserve"> 13</w:t>
              </w:r>
            </w:hyperlink>
          </w:p>
        </w:tc>
      </w:tr>
      <w:tr w:rsidR="00A17223" w:rsidRPr="00A17223" w:rsidTr="00A17223">
        <w:trPr>
          <w:trHeight w:val="511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3 месяца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Первая вакцинация против </w:t>
            </w:r>
            <w:proofErr w:type="spell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дифтерии</w:t>
            </w:r>
            <w:proofErr w:type="gram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оклюша</w:t>
            </w:r>
            <w:proofErr w:type="spellEnd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столбняка </w:t>
            </w:r>
          </w:p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Первая вакцинация против полиомиелита </w:t>
            </w: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9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Инфанрикс</w:t>
              </w:r>
              <w:proofErr w:type="spellEnd"/>
            </w:hyperlink>
            <w:r w:rsidRPr="00A17223">
              <w:rPr>
                <w:rFonts w:ascii="Tahoma" w:eastAsia="Times New Roman" w:hAnsi="Tahoma" w:cs="Tahoma"/>
                <w:color w:val="666666"/>
                <w:sz w:val="19"/>
                <w:szCs w:val="19"/>
                <w:lang w:eastAsia="ru-RU"/>
              </w:rPr>
              <w:br/>
            </w:r>
            <w:hyperlink r:id="rId10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Полиорикс</w:t>
              </w:r>
              <w:proofErr w:type="spellEnd"/>
            </w:hyperlink>
          </w:p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1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Пентаксим</w:t>
              </w:r>
              <w:proofErr w:type="spellEnd"/>
            </w:hyperlink>
          </w:p>
        </w:tc>
      </w:tr>
      <w:tr w:rsidR="00A17223" w:rsidRPr="00A17223" w:rsidTr="00A17223">
        <w:trPr>
          <w:trHeight w:val="5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7223" w:rsidRPr="00A17223" w:rsidRDefault="00A17223" w:rsidP="00A1722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Первая вакцинация против гемофильной инфекции (</w:t>
            </w:r>
            <w:proofErr w:type="spell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группыриска</w:t>
            </w:r>
            <w:proofErr w:type="spellEnd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2" w:history="1"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Акт-ХИБ</w:t>
              </w:r>
            </w:hyperlink>
            <w:r w:rsidRPr="00A17223">
              <w:rPr>
                <w:rFonts w:ascii="Tahoma" w:eastAsia="Times New Roman" w:hAnsi="Tahoma" w:cs="Tahoma"/>
                <w:color w:val="666666"/>
                <w:sz w:val="19"/>
                <w:szCs w:val="19"/>
                <w:lang w:eastAsia="ru-RU"/>
              </w:rPr>
              <w:br/>
            </w:r>
            <w:hyperlink r:id="rId13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Хиберикс</w:t>
              </w:r>
              <w:proofErr w:type="spellEnd"/>
            </w:hyperlink>
          </w:p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4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Пентаксим</w:t>
              </w:r>
              <w:proofErr w:type="spellEnd"/>
            </w:hyperlink>
          </w:p>
        </w:tc>
      </w:tr>
      <w:tr w:rsidR="00A17223" w:rsidRPr="00A17223" w:rsidTr="00A17223">
        <w:trPr>
          <w:trHeight w:val="643"/>
        </w:trPr>
        <w:tc>
          <w:tcPr>
            <w:tcW w:w="1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 месяца</w:t>
            </w:r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Вторая вакцинация против дифтерии, коклюша, столбняка</w:t>
            </w:r>
          </w:p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Вторая вакцинация против полиомиелита</w:t>
            </w:r>
            <w:proofErr w:type="gram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Вторая вакцинация против пневмококковой инфекции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5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Инфанрикс</w:t>
              </w:r>
              <w:proofErr w:type="spellEnd"/>
            </w:hyperlink>
            <w:r w:rsidRPr="00A17223">
              <w:rPr>
                <w:rFonts w:ascii="Tahoma" w:eastAsia="Times New Roman" w:hAnsi="Tahoma" w:cs="Tahoma"/>
                <w:color w:val="666666"/>
                <w:sz w:val="19"/>
                <w:szCs w:val="19"/>
                <w:lang w:eastAsia="ru-RU"/>
              </w:rPr>
              <w:br/>
            </w:r>
            <w:hyperlink r:id="rId16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Полиорикс</w:t>
              </w:r>
              <w:proofErr w:type="spellEnd"/>
            </w:hyperlink>
          </w:p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7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Пентаксим</w:t>
              </w:r>
              <w:proofErr w:type="spellEnd"/>
            </w:hyperlink>
          </w:p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8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Превенар</w:t>
              </w:r>
              <w:proofErr w:type="spellEnd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 xml:space="preserve"> 13</w:t>
              </w:r>
            </w:hyperlink>
          </w:p>
        </w:tc>
      </w:tr>
      <w:tr w:rsidR="00A17223" w:rsidRPr="00A17223" w:rsidTr="00A17223">
        <w:trPr>
          <w:trHeight w:val="8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7223" w:rsidRPr="00A17223" w:rsidRDefault="00A17223" w:rsidP="00A1722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Вторая вакцинация против гемофильной инфекции (</w:t>
            </w:r>
            <w:proofErr w:type="spell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группыриска</w:t>
            </w:r>
            <w:proofErr w:type="spellEnd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19" w:history="1"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Акт-ХИБ</w:t>
              </w:r>
            </w:hyperlink>
            <w:r w:rsidRPr="00A17223">
              <w:rPr>
                <w:rFonts w:ascii="Tahoma" w:eastAsia="Times New Roman" w:hAnsi="Tahoma" w:cs="Tahoma"/>
                <w:color w:val="666666"/>
                <w:sz w:val="19"/>
                <w:szCs w:val="19"/>
                <w:lang w:eastAsia="ru-RU"/>
              </w:rPr>
              <w:br/>
            </w:r>
            <w:hyperlink r:id="rId20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Хиберикс</w:t>
              </w:r>
              <w:proofErr w:type="spellEnd"/>
            </w:hyperlink>
          </w:p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21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Пентаксим</w:t>
              </w:r>
              <w:proofErr w:type="spellEnd"/>
            </w:hyperlink>
          </w:p>
        </w:tc>
      </w:tr>
      <w:tr w:rsidR="00A17223" w:rsidRPr="00A17223" w:rsidTr="00A17223">
        <w:trPr>
          <w:trHeight w:val="58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месяцев</w:t>
            </w:r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Третья вакцинация против вирусного гепатита В</w:t>
            </w:r>
            <w:proofErr w:type="gram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22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Энджерикс</w:t>
              </w:r>
              <w:proofErr w:type="spellEnd"/>
              <w:proofErr w:type="gram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 xml:space="preserve"> В</w:t>
              </w:r>
              <w:proofErr w:type="gramEnd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 0,5</w:t>
              </w:r>
            </w:hyperlink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</w:r>
            <w:hyperlink r:id="rId23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Инфанрикс</w:t>
              </w:r>
              <w:proofErr w:type="spellEnd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Гекса</w:t>
              </w:r>
              <w:proofErr w:type="spellEnd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br/>
              </w:r>
            </w:hyperlink>
          </w:p>
        </w:tc>
      </w:tr>
      <w:tr w:rsidR="00A17223" w:rsidRPr="00A17223" w:rsidTr="00A17223">
        <w:trPr>
          <w:trHeight w:val="7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7223" w:rsidRPr="00A17223" w:rsidRDefault="00A17223" w:rsidP="00A1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Третья вакцинация против дифтерии, коклюша, столбняка</w:t>
            </w:r>
          </w:p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Третья вакцинация против полиомиелита</w:t>
            </w:r>
            <w:proofErr w:type="gram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24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Инфанрикс</w:t>
              </w:r>
              <w:proofErr w:type="spellEnd"/>
            </w:hyperlink>
            <w:r w:rsidRPr="00A17223">
              <w:rPr>
                <w:rFonts w:ascii="Tahoma" w:eastAsia="Times New Roman" w:hAnsi="Tahoma" w:cs="Tahoma"/>
                <w:color w:val="666666"/>
                <w:sz w:val="19"/>
                <w:szCs w:val="19"/>
                <w:lang w:eastAsia="ru-RU"/>
              </w:rPr>
              <w:br/>
            </w:r>
            <w:hyperlink r:id="rId25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Полиорикс</w:t>
              </w:r>
              <w:proofErr w:type="spellEnd"/>
            </w:hyperlink>
          </w:p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26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Пентаксим</w:t>
              </w:r>
              <w:proofErr w:type="spellEnd"/>
            </w:hyperlink>
          </w:p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27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Инфанрикс</w:t>
              </w:r>
              <w:proofErr w:type="spellEnd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Гекса</w:t>
              </w:r>
              <w:proofErr w:type="spellEnd"/>
            </w:hyperlink>
          </w:p>
        </w:tc>
      </w:tr>
      <w:tr w:rsidR="00A17223" w:rsidRPr="00A17223" w:rsidTr="00A17223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7223" w:rsidRPr="00A17223" w:rsidRDefault="00A17223" w:rsidP="00A1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Третья вакцинация против гемофильной инфекции (группа риска)</w:t>
            </w: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  <w:p w:rsidR="00A17223" w:rsidRPr="00A17223" w:rsidRDefault="00A17223" w:rsidP="00A17223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28" w:history="1"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Акт-ХИБ</w:t>
              </w:r>
            </w:hyperlink>
            <w:r w:rsidRPr="00A17223">
              <w:rPr>
                <w:rFonts w:ascii="Tahoma" w:eastAsia="Times New Roman" w:hAnsi="Tahoma" w:cs="Tahoma"/>
                <w:color w:val="666666"/>
                <w:sz w:val="19"/>
                <w:szCs w:val="19"/>
                <w:lang w:eastAsia="ru-RU"/>
              </w:rPr>
              <w:br/>
            </w:r>
            <w:hyperlink r:id="rId29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Хиберикс</w:t>
              </w:r>
              <w:proofErr w:type="spellEnd"/>
            </w:hyperlink>
          </w:p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30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Пентаксим</w:t>
              </w:r>
              <w:proofErr w:type="spellEnd"/>
            </w:hyperlink>
          </w:p>
          <w:p w:rsidR="00A17223" w:rsidRPr="00A17223" w:rsidRDefault="00A17223" w:rsidP="00A17223">
            <w:pPr>
              <w:spacing w:after="0" w:line="2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31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Инфанрикс</w:t>
              </w:r>
              <w:proofErr w:type="spellEnd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Гекса</w:t>
              </w:r>
              <w:proofErr w:type="spellEnd"/>
            </w:hyperlink>
          </w:p>
        </w:tc>
      </w:tr>
      <w:tr w:rsidR="00A17223" w:rsidRPr="00A17223" w:rsidTr="00A17223">
        <w:trPr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 месяцев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Четвёртая вакцинация против вирусного гепатита B (</w:t>
            </w:r>
            <w:proofErr w:type="spell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группыриска</w:t>
            </w:r>
            <w:proofErr w:type="spellEnd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240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Энджерикс</w:t>
              </w:r>
              <w:proofErr w:type="spellEnd"/>
              <w:proofErr w:type="gram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 xml:space="preserve"> В</w:t>
              </w:r>
              <w:proofErr w:type="gramEnd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 0,5</w:t>
              </w:r>
            </w:hyperlink>
          </w:p>
        </w:tc>
      </w:tr>
      <w:tr w:rsidR="00A17223" w:rsidRPr="00A17223" w:rsidTr="00A17223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7223" w:rsidRPr="00A17223" w:rsidRDefault="00A17223" w:rsidP="00A1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Вакцинация против кори, краснухи, эпидемического паротита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Приорикс</w:t>
              </w:r>
              <w:proofErr w:type="spellEnd"/>
            </w:hyperlink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4" w:history="1"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Коревая</w:t>
              </w:r>
            </w:hyperlink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5" w:history="1"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Краснуха</w:t>
              </w:r>
            </w:hyperlink>
          </w:p>
        </w:tc>
      </w:tr>
      <w:tr w:rsidR="00A17223" w:rsidRPr="00A17223" w:rsidTr="00A172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Ревакцинация против пневмококковой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  <w:proofErr w:type="spellStart"/>
            <w:r w:rsidRPr="00A1722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fldChar w:fldCharType="begin"/>
            </w:r>
            <w:r w:rsidRPr="00A1722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instrText xml:space="preserve"> HYPERLINK "http://privivka.spb.ru/vaccination/89/" </w:instrText>
            </w:r>
            <w:r w:rsidRPr="00A1722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fldChar w:fldCharType="separate"/>
            </w:r>
            <w:r w:rsidRPr="00A17223">
              <w:rPr>
                <w:rFonts w:ascii="Arial" w:eastAsia="Times New Roman" w:hAnsi="Arial" w:cs="Arial"/>
                <w:color w:val="924E32"/>
                <w:sz w:val="20"/>
                <w:szCs w:val="20"/>
                <w:u w:val="single"/>
                <w:lang w:eastAsia="ru-RU"/>
              </w:rPr>
              <w:t>Превенар</w:t>
            </w:r>
            <w:proofErr w:type="spellEnd"/>
            <w:r w:rsidRPr="00A17223">
              <w:rPr>
                <w:rFonts w:ascii="Arial" w:eastAsia="Times New Roman" w:hAnsi="Arial" w:cs="Arial"/>
                <w:color w:val="924E32"/>
                <w:sz w:val="20"/>
                <w:szCs w:val="20"/>
                <w:u w:val="single"/>
                <w:lang w:eastAsia="ru-RU"/>
              </w:rPr>
              <w:t xml:space="preserve"> 13</w:t>
            </w:r>
            <w:r w:rsidRPr="00A1722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17223" w:rsidRPr="00A17223" w:rsidTr="00A17223">
        <w:trPr>
          <w:trHeight w:val="330"/>
        </w:trPr>
        <w:tc>
          <w:tcPr>
            <w:tcW w:w="1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месяцев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Первая ревакцинация против дифтерии, коклюша, столбняка</w:t>
            </w:r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Первая ревакцинация против полиомиелита</w:t>
            </w:r>
            <w:proofErr w:type="gram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36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Инфанрикс</w:t>
              </w:r>
              <w:proofErr w:type="spellEnd"/>
            </w:hyperlink>
            <w:r w:rsidRPr="00A17223">
              <w:rPr>
                <w:rFonts w:ascii="Tahoma" w:eastAsia="Times New Roman" w:hAnsi="Tahoma" w:cs="Tahoma"/>
                <w:color w:val="666666"/>
                <w:sz w:val="19"/>
                <w:szCs w:val="19"/>
                <w:lang w:eastAsia="ru-RU"/>
              </w:rPr>
              <w:br/>
            </w:r>
            <w:hyperlink r:id="rId37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Полиорикс</w:t>
              </w:r>
              <w:proofErr w:type="spellEnd"/>
            </w:hyperlink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Пентаксим</w:t>
              </w:r>
              <w:proofErr w:type="spellEnd"/>
            </w:hyperlink>
          </w:p>
        </w:tc>
      </w:tr>
      <w:tr w:rsidR="00A17223" w:rsidRPr="00A17223" w:rsidTr="00A17223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7223" w:rsidRPr="00A17223" w:rsidRDefault="00A17223" w:rsidP="00A1722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Ревакцинация против гемофильной инфекции (группы риска)</w:t>
            </w: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hyperlink r:id="rId39" w:history="1"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Акт-ХИБ</w:t>
              </w:r>
            </w:hyperlink>
            <w:r w:rsidRPr="00A17223">
              <w:rPr>
                <w:rFonts w:ascii="Tahoma" w:eastAsia="Times New Roman" w:hAnsi="Tahoma" w:cs="Tahoma"/>
                <w:color w:val="666666"/>
                <w:sz w:val="19"/>
                <w:szCs w:val="19"/>
                <w:lang w:eastAsia="ru-RU"/>
              </w:rPr>
              <w:br/>
            </w:r>
            <w:hyperlink r:id="rId40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Хиберикс</w:t>
              </w:r>
              <w:proofErr w:type="spellEnd"/>
            </w:hyperlink>
          </w:p>
        </w:tc>
      </w:tr>
      <w:tr w:rsidR="00A17223" w:rsidRPr="00A17223" w:rsidTr="00A17223">
        <w:trPr>
          <w:trHeight w:val="427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месяцев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Вторая ревакцинация против полиомиелита</w:t>
            </w:r>
            <w:proofErr w:type="gram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ОПВ</w:t>
            </w:r>
          </w:p>
        </w:tc>
      </w:tr>
      <w:tr w:rsidR="00A17223" w:rsidRPr="00A17223" w:rsidTr="00A17223">
        <w:trPr>
          <w:trHeight w:val="654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Ревакцинация против кори, краснухи, эпидемического паротита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Приорикс</w:t>
              </w:r>
              <w:proofErr w:type="spellEnd"/>
            </w:hyperlink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2" w:history="1"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Коревая</w:t>
              </w:r>
            </w:hyperlink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3" w:history="1"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Краснуха</w:t>
              </w:r>
            </w:hyperlink>
          </w:p>
        </w:tc>
      </w:tr>
      <w:tr w:rsidR="00A17223" w:rsidRPr="00A17223" w:rsidTr="00A17223">
        <w:trPr>
          <w:trHeight w:val="443"/>
        </w:trPr>
        <w:tc>
          <w:tcPr>
            <w:tcW w:w="1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6-7 лет</w:t>
            </w:r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666666"/>
                <w:sz w:val="19"/>
                <w:szCs w:val="19"/>
                <w:lang w:eastAsia="ru-RU"/>
              </w:rPr>
              <w:t> </w:t>
            </w:r>
            <w:r w:rsidRPr="00A17223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Вторая ревакцинация против дифтерии, столбняка</w:t>
            </w:r>
            <w:proofErr w:type="gram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4" w:history="1"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АДС-М</w:t>
              </w:r>
            </w:hyperlink>
          </w:p>
        </w:tc>
      </w:tr>
      <w:tr w:rsidR="00A17223" w:rsidRPr="00A17223" w:rsidTr="00A1722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7223" w:rsidRPr="00A17223" w:rsidRDefault="00A17223" w:rsidP="00A1722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Ревакцинация против туберкулеза</w:t>
            </w: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БЦЖ-М</w:t>
            </w:r>
          </w:p>
        </w:tc>
      </w:tr>
      <w:tr w:rsidR="00A17223" w:rsidRPr="00A17223" w:rsidTr="00A17223">
        <w:trPr>
          <w:trHeight w:val="480"/>
        </w:trPr>
        <w:tc>
          <w:tcPr>
            <w:tcW w:w="1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лет</w:t>
            </w:r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Третья ревакцинация против дифтерии, столбняка</w:t>
            </w:r>
            <w:proofErr w:type="gram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hyperlink r:id="rId45" w:history="1"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АДС-М</w:t>
              </w:r>
            </w:hyperlink>
          </w:p>
        </w:tc>
      </w:tr>
      <w:tr w:rsidR="00A17223" w:rsidRPr="00A17223" w:rsidTr="00A17223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7223" w:rsidRPr="00A17223" w:rsidRDefault="00A17223" w:rsidP="00A1722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Третья ревакцинация против полиомиелита</w:t>
            </w:r>
            <w:proofErr w:type="gram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Полиорикс</w:t>
              </w:r>
              <w:proofErr w:type="spellEnd"/>
            </w:hyperlink>
          </w:p>
        </w:tc>
      </w:tr>
      <w:tr w:rsidR="00A17223" w:rsidRPr="00A17223" w:rsidTr="00A1722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Взрослые от 18 лет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Ревакцинация против дифтерии, столбняка — каждые 10 лет от момента последней ревакцинации</w:t>
            </w:r>
            <w:r w:rsidRPr="00A1722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7" w:history="1"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 </w:t>
              </w:r>
            </w:hyperlink>
            <w:hyperlink r:id="rId48" w:history="1"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АДС-М</w:t>
              </w:r>
            </w:hyperlink>
          </w:p>
        </w:tc>
      </w:tr>
      <w:tr w:rsidR="00A17223" w:rsidRPr="00A17223" w:rsidTr="00A17223">
        <w:trPr>
          <w:trHeight w:val="819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от 1 года до 18 лет, взрослые от 18 до 55 лет, не привитые ранее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Вакцинация против вирусного гепатита В</w:t>
            </w:r>
            <w:proofErr w:type="gram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Энджерикс</w:t>
              </w:r>
              <w:proofErr w:type="spellEnd"/>
              <w:proofErr w:type="gram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 xml:space="preserve"> В</w:t>
              </w:r>
              <w:proofErr w:type="gramEnd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 0,5</w:t>
              </w:r>
            </w:hyperlink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Энджерикс</w:t>
              </w:r>
              <w:proofErr w:type="spellEnd"/>
              <w:proofErr w:type="gram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 xml:space="preserve"> В</w:t>
              </w:r>
              <w:proofErr w:type="gramEnd"/>
            </w:hyperlink>
            <w:hyperlink r:id="rId51" w:history="1"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 </w:t>
              </w:r>
            </w:hyperlink>
            <w:hyperlink r:id="rId52" w:history="1"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1,0</w:t>
              </w:r>
            </w:hyperlink>
          </w:p>
        </w:tc>
      </w:tr>
      <w:tr w:rsidR="00A17223" w:rsidRPr="00A17223" w:rsidTr="00A1722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от 1 года до 18 лет, женщины от 18 до 25 лет (включительно), не болевшие, не привитые, привитые однократно против краснухи, не имеющие сведений о прививках против краснухи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Вакцинация против краснухи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3" w:history="1"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Краснуха</w:t>
              </w:r>
            </w:hyperlink>
          </w:p>
        </w:tc>
      </w:tr>
      <w:tr w:rsidR="00A17223" w:rsidRPr="00A17223" w:rsidTr="00A17223">
        <w:trPr>
          <w:trHeight w:val="720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от 1 года до 18 лет включительно и взрослые в возрасте до 35 лет (включительно), не болевшие, не привитые, привитые однократно, не имеющие сведений о прививках против кори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Вакцинация против кори</w:t>
            </w:r>
            <w:r w:rsidRPr="00A1722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 w:rsidRPr="00A1722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4" w:history="1"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Коревая</w:t>
              </w:r>
            </w:hyperlink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A17223" w:rsidRPr="00A17223" w:rsidTr="00A17223">
        <w:trPr>
          <w:trHeight w:val="720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Дети с 6 месяцев; учащиеся 1-11 классов; обучающиеся в профессиональных образовательных организациях и образовательных организациях высшего образования; </w:t>
            </w:r>
            <w:proofErr w:type="gram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взрослые</w:t>
            </w:r>
            <w:proofErr w:type="gramEnd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работающие по отдельным профессиям и должностям (</w:t>
            </w:r>
            <w:proofErr w:type="spell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работникимедицинских</w:t>
            </w:r>
            <w:proofErr w:type="spellEnd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 образовательных организаций, транспорта, коммунальной сферы); беременные женщины; взрослые старше 60 лет; лица, подлежащие призыву на военную службу; лица с хроническими заболеваниями, в том числе с заболеваниями лёгких, сердечно-сосудистыми заболеваниями, метаболическими нарушениями и ожирением</w:t>
            </w:r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Вакцинация против гриппа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A17223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Ваксигрипп</w:t>
              </w:r>
              <w:proofErr w:type="spellEnd"/>
            </w:hyperlink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A17223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Инфлювак</w:t>
              </w:r>
              <w:proofErr w:type="spellEnd"/>
            </w:hyperlink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A17223" w:rsidRPr="00A17223" w:rsidTr="00A172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и взрослые по </w:t>
            </w:r>
            <w:proofErr w:type="spell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эпид</w:t>
            </w:r>
            <w:proofErr w:type="gram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оказаниям</w:t>
            </w:r>
            <w:proofErr w:type="spellEnd"/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Пневмококковая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Пневмо</w:t>
              </w:r>
              <w:proofErr w:type="spellEnd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 xml:space="preserve"> 23</w:t>
              </w:r>
            </w:hyperlink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Превенар</w:t>
              </w:r>
              <w:proofErr w:type="spellEnd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 13</w:t>
              </w:r>
            </w:hyperlink>
          </w:p>
        </w:tc>
      </w:tr>
      <w:tr w:rsidR="00A17223" w:rsidRPr="00A17223" w:rsidTr="00A172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и взрослые по </w:t>
            </w:r>
            <w:proofErr w:type="spell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эпид</w:t>
            </w:r>
            <w:proofErr w:type="gram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оказаниям</w:t>
            </w:r>
            <w:proofErr w:type="spellEnd"/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Менингококковая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Менинго</w:t>
              </w:r>
              <w:proofErr w:type="spellEnd"/>
              <w:proofErr w:type="gram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 xml:space="preserve"> А</w:t>
              </w:r>
              <w:proofErr w:type="gramEnd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+С</w:t>
              </w:r>
            </w:hyperlink>
            <w:r w:rsidRPr="00A172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hyperlink r:id="rId60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Менцевакс</w:t>
              </w:r>
              <w:proofErr w:type="spellEnd"/>
            </w:hyperlink>
            <w:hyperlink r:id="rId61" w:history="1"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 </w:t>
              </w:r>
            </w:hyperlink>
            <w:hyperlink r:id="rId62" w:history="1"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ACWY</w:t>
              </w:r>
            </w:hyperlink>
          </w:p>
        </w:tc>
      </w:tr>
      <w:tr w:rsidR="00A17223" w:rsidRPr="00A17223" w:rsidTr="00A172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и взрослые по </w:t>
            </w:r>
            <w:proofErr w:type="spell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эпид</w:t>
            </w:r>
            <w:proofErr w:type="gram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оказаниям</w:t>
            </w:r>
            <w:proofErr w:type="spellEnd"/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240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Гепатитная A</w:t>
            </w:r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Хаврикс</w:t>
              </w:r>
              <w:proofErr w:type="spellEnd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 xml:space="preserve"> 720</w:t>
              </w:r>
            </w:hyperlink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Хаврикс</w:t>
              </w:r>
              <w:proofErr w:type="spellEnd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 xml:space="preserve"> 1440</w:t>
              </w:r>
            </w:hyperlink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Аваксим</w:t>
              </w:r>
              <w:proofErr w:type="spellEnd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 xml:space="preserve"> 80</w:t>
              </w:r>
            </w:hyperlink>
          </w:p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Аваксим</w:t>
              </w:r>
              <w:proofErr w:type="spellEnd"/>
            </w:hyperlink>
          </w:p>
        </w:tc>
      </w:tr>
      <w:tr w:rsidR="00A17223" w:rsidRPr="00A17223" w:rsidTr="00A172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7223" w:rsidRPr="00A17223" w:rsidRDefault="00A17223" w:rsidP="00A17223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и взрослые по </w:t>
            </w:r>
            <w:proofErr w:type="spell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эпид</w:t>
            </w:r>
            <w:proofErr w:type="gramStart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оказаниям</w:t>
            </w:r>
            <w:proofErr w:type="spellEnd"/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17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Брюшнотифозная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223" w:rsidRPr="00A17223" w:rsidRDefault="00A17223" w:rsidP="00A17223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A17223">
                <w:rPr>
                  <w:rFonts w:ascii="Arial" w:eastAsia="Times New Roman" w:hAnsi="Arial" w:cs="Arial"/>
                  <w:color w:val="924E32"/>
                  <w:sz w:val="20"/>
                  <w:szCs w:val="20"/>
                  <w:u w:val="single"/>
                  <w:lang w:eastAsia="ru-RU"/>
                </w:rPr>
                <w:t>Вианвак</w:t>
              </w:r>
              <w:proofErr w:type="spellEnd"/>
            </w:hyperlink>
          </w:p>
        </w:tc>
      </w:tr>
    </w:tbl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ind w:left="1080" w:hanging="360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b/>
          <w:bCs/>
          <w:color w:val="666666"/>
          <w:sz w:val="19"/>
          <w:szCs w:val="19"/>
          <w:lang w:eastAsia="ru-RU"/>
        </w:rPr>
        <w:t>Примечания:</w:t>
      </w:r>
      <w:r w:rsidRPr="00A17223">
        <w:rPr>
          <w:rFonts w:ascii="Symbol" w:eastAsia="Times New Roman" w:hAnsi="Symbol" w:cs="Tahoma"/>
          <w:color w:val="666666"/>
          <w:sz w:val="19"/>
          <w:szCs w:val="19"/>
          <w:lang w:eastAsia="ru-RU"/>
        </w:rPr>
        <w:t>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1.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Первая, вторая и третья вакцинация проводятся по схеме 0-1-6 (1 доза — в момент начала вакцинации, 2 доза — через месяц после 1 прививки, 3 доза — через 6 месяцев от начала вакцинации), за исключением детей, относящихся к группам риска, вакцинация против вирусного гепатита</w:t>
      </w:r>
      <w:proofErr w:type="gram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</w:t>
      </w:r>
      <w:proofErr w:type="gram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которых проводится по схеме 0-1-2-12 (1доза — в момент начала вакцинации, 2 доза — через месяц после 1 прививки, 3 доза — через 2 месяца от начала вакцинации, 4 доза — через 12 месяцев от начала вакцинации).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2.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Вакцинация проводится вакциной для профилактики туберкулёза для щадящей первичной вакцинации (БЦЖ-М); в субъектах Российской Федерации с показателями заболеваемости, превышающими 80 на 100 тыс. населения, а также при наличии в окружении новорождённого больных туберкулёзом — вакциной для профилактики туберкулёза (БЦЖ).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3.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Вакцинация проводится детям, относящимся к группам риска (родившимся от матерей носителей </w:t>
      </w:r>
      <w:proofErr w:type="spell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HBsAg</w:t>
      </w:r>
      <w:proofErr w:type="spell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, больных вирусным гепатитом</w:t>
      </w:r>
      <w:proofErr w:type="gram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</w:t>
      </w:r>
      <w:proofErr w:type="gram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или перенёсших вирусный гепатит в третьем триместре беременности, не имеющих результатов обследования на маркёры гепатита В, потребляющих наркотические средства или психотропные вещества, из семей, в которых есть носитель </w:t>
      </w:r>
      <w:proofErr w:type="spell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HBsAg</w:t>
      </w:r>
      <w:proofErr w:type="spell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или больной вирусным гепатитом В и хроническими вирусными гепатитами).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lastRenderedPageBreak/>
        <w:t>4.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Первая и вторая вакцинация проводятся вакциной для профилактики полиомиелита (инактивированной).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5.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Вакцинация проводится детям, относящимся к группам риска (с </w:t>
      </w:r>
      <w:proofErr w:type="spell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иммунодефицитными</w:t>
      </w:r>
      <w:proofErr w:type="spell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состояниями или анатомическими дефектами, приводящими к резко повышенной опасности заболевания гемофильной инфекцией; с </w:t>
      </w:r>
      <w:proofErr w:type="spell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онкогематологическими</w:t>
      </w:r>
      <w:proofErr w:type="spell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заболеваниями и/или длительно получающие </w:t>
      </w:r>
      <w:proofErr w:type="spell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иммуносупрессивную</w:t>
      </w:r>
      <w:proofErr w:type="spell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терапию; детям, рождённым от матерей с ВИЧ-инфекцией; детям с ВИЧ-инфекцией; детям, находящимся в домах ребёнка).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6.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Третья вакцинация и последующие ревакцинации против полиомиелита проводятся детям живой вакциной для профилактики полиомиелита; детям, рождённым от матерей с ВИЧ-инфекцией, детям с ВИЧ-инфекцией, находящимся в домах ребёнка — инактивированной вакциной для профилактики полиомиелита.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7.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Вторая ревакцинация проводится анатоксинами с уменьшенным содержанием антигенов.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8.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Ревакцинация проводится вакциной для профилактики туберкулёза (БЦЖ).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9.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Вакцинация проводится детям и взрослым, ранее не привитым против вирусного гепатита</w:t>
      </w:r>
      <w:proofErr w:type="gram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</w:t>
      </w:r>
      <w:proofErr w:type="gram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, по схеме 0-1-6 (1доза — в момент начала вакцинации, 2 доза — через 1 месяц после 1 прививки, 3 доза — через 6 месяцев от начала вакцинации).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10.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Интервал между первой и второй прививками должен составлять не менее 3 месяцев.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  <w:r w:rsidRPr="00A17223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Порядок проведения гражданам профилактических прививок в рамках национального календаря профилактических прививок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1.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Профилактические прививки в рамках национального календаря профилактических прививок проводятся гражданам в медицинских организациях при наличии у таких организаций лицензии, предусматривающей выполнение работ (услуг) по вакцинации (проведению профилактических прививок).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2.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Вакцинацию осуществляют медицинские работники, прошедшие </w:t>
      </w:r>
      <w:proofErr w:type="gram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обучение по вопросам</w:t>
      </w:r>
      <w:proofErr w:type="gram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применения иммунобиологических лекарственных препаратов для иммунопрофилактики инфекционных болезней, правилам организации и техники проведения вакцинации, а также по вопросам оказания медицинской помощи в экстренной или неотложной форме.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3.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Вакцинация и ревакцинация в рамках национального календаря профилактических прививок проводится иммунобиологическими лекарственными препаратами для иммунопрофилактики инфекционных болезней, зарегистрированными в соответствии с законодательством Российской Федерации, согласно инструкциям по их применению.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4.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Перед проведением профилактической прививки лицу, подлежащему вакцинации, или его законному представителю (опекунам) разъясняется необходимость иммунопрофилактики инфекционных болезней, возможные поствакцинальные реакции и осложнения, а также последствия отказа от иммунопрофилактики и оформляется информированное добровольное согласие на медицинское вмешательство в соответствии с требованиями статьи 20 Федерального закона от 21 ноября 2011 г. №        323-ФЗ</w:t>
      </w:r>
      <w:proofErr w:type="gram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„О</w:t>
      </w:r>
      <w:proofErr w:type="gram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б основах охраны здоровья граждан в Российской Федерации“.</w:t>
      </w:r>
      <w:r w:rsidRPr="00A17223">
        <w:rPr>
          <w:rFonts w:ascii="Tahoma" w:eastAsia="Times New Roman" w:hAnsi="Tahoma" w:cs="Tahoma"/>
          <w:color w:val="B22222"/>
          <w:sz w:val="18"/>
          <w:szCs w:val="18"/>
          <w:vertAlign w:val="superscript"/>
          <w:lang w:eastAsia="ru-RU"/>
        </w:rPr>
        <w:t>11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color w:val="B22222"/>
          <w:sz w:val="18"/>
          <w:szCs w:val="18"/>
          <w:vertAlign w:val="superscript"/>
          <w:lang w:eastAsia="ru-RU"/>
        </w:rPr>
        <w:t>11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Собрание законодательства Российской Федерации, 2012, №        26, ст. 3442; №        26, ст. 3446; 2013, №        27, ст. 3459; №        27, ст. 3477; №        30, ст. 4038; №        48, ст. 6165; №        52, ст. 6951.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5.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Все лица, которым должны проводиться профилактические прививки предварительно подвергаются осмотру врачом (фельдшером).</w:t>
      </w:r>
      <w:r w:rsidRPr="00A17223">
        <w:rPr>
          <w:rFonts w:ascii="Tahoma" w:eastAsia="Times New Roman" w:hAnsi="Tahoma" w:cs="Tahoma"/>
          <w:color w:val="B22222"/>
          <w:sz w:val="18"/>
          <w:szCs w:val="18"/>
          <w:vertAlign w:val="superscript"/>
          <w:lang w:eastAsia="ru-RU"/>
        </w:rPr>
        <w:t>12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color w:val="B22222"/>
          <w:sz w:val="18"/>
          <w:szCs w:val="18"/>
          <w:vertAlign w:val="superscript"/>
          <w:lang w:eastAsia="ru-RU"/>
        </w:rPr>
        <w:t>12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Приказ Министерства здравоохранения и социального развития Российской Федерации от 23 марта 2012 г. №        252н</w:t>
      </w:r>
      <w:proofErr w:type="gram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„О</w:t>
      </w:r>
      <w:proofErr w:type="gram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б утверждении Порядка возложения на фельдшера, акушерку руководителем медицинской организации при организации оказания первичной медико-санитарной помощи и скорой медицинской помощи отдельных функций лечащего врача по непосредственному оказанию медицинской помощи пациенту в период наблюдения за ним и его лечения, в том числе по назначению и применению лекарственных препаратов, включая наркотические лекарственные препараты и психотропные лекарственные 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>препараты“ (</w:t>
      </w:r>
      <w:proofErr w:type="spell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зарегистрированМинистерством</w:t>
      </w:r>
      <w:proofErr w:type="spell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юстиции Российской Федерации 28 апреля 2012 г., регистрационный номер №        23971).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6.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При изменении сроков вакцинации её проводят по предусмотренным национальным календарём профилактических прививок схемам и в соответствии с инструкциями по применению иммунобиологических лекарственных препаратов для иммунопрофилактики инфекционных болезней. Допускается введение вакцин (</w:t>
      </w:r>
      <w:proofErr w:type="spell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кромевакцин</w:t>
      </w:r>
      <w:proofErr w:type="spell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для профилактики туберкулёза), применяемых в рамках национального календаря профилактических прививок, в один день разными шприцами в разные участки тела.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7.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Вакцинация детей, которым иммунопрофилактика против пневмококковой инфекции не была начата </w:t>
      </w:r>
      <w:proofErr w:type="gram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 первые</w:t>
      </w:r>
      <w:proofErr w:type="gram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6 месяцев жизни, проводится двукратно с интервалом между прививками не менее 2 месяцев.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8.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Вакцинация детей, рождённых от матерей с ВИЧ-инфекцией, осуществляется в рамках национального календаря профилактических прививок в соответствии с инструкциями по применению иммунобиологических лекарственных препаратов для иммунопрофилактики инфекционных болезней. При вакцинации таких детей учитываются: ВИЧ-статус ребёнка, вид вакцины, показатели иммунного статуса, возраст ребёнка, сопутствующие заболевания.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9.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Ревакцинация детей против туберкулёза, рождённых от матерей с ВИЧ-инфекцией и получавших </w:t>
      </w:r>
      <w:proofErr w:type="gram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трёхэтапную</w:t>
      </w:r>
      <w:proofErr w:type="gram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химиопрофилактику</w:t>
      </w:r>
      <w:proofErr w:type="spell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передачи ВИЧ от матери ребёнку (во время беременности, родов и в период новорождённости), проводится в родильном доме вакцинами для профилактики туберкулёза (для щадящей первичной вакцинации). У детей с ВИЧ-инфекцией, а также при обнаружении нуклеиновых кислот ВИЧ молекулярными методами ревакцинация против туберкулёза не проводится.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10.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Вакцинация живыми вакцинами в рамках национального календаря профилактических прививок (</w:t>
      </w:r>
      <w:proofErr w:type="spell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заисключением</w:t>
      </w:r>
      <w:proofErr w:type="spell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вакцин для профилактики туберкулёза) проводится детям с ВИЧ-инфекцией с 1-й и 2-й иммунными категориями (отсутствие иммунодефицита или умеренный иммунодефицит).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11.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При исключении диагноза ВИЧ-инфекции детям, рождённым от матерей с ВИЧ-инфекцией, проводят вакцинацию живыми вакцинами без предварительного иммунологического обследования.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12.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Анатоксины, убитые и рекомбинантные вакцины в рамках национального календаря профилактических прививок вводят всем детям, рождённым от матерей с ВИЧ-инфекцией. Детям с ВИЧ-инфекцией указанные иммунобиологические лекарственные препараты вводятся при отсутствии выраженного и тяжёлого иммунодефицита.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13.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При проведении вакцинации детей против пневмококковой инфекции, а также детей и взрослых против гепатита</w:t>
      </w:r>
      <w:proofErr w:type="gram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</w:t>
      </w:r>
      <w:proofErr w:type="gram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используются вакцины, содержащие актуальные подтипы поверхностных антигенов, серотипы с максимально возможным покрытием инфекционных возбудителей.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14.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При проведении вакцинации против гепатита</w:t>
      </w:r>
      <w:proofErr w:type="gram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</w:t>
      </w:r>
      <w:proofErr w:type="gram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детей первого года жизни, против гриппа детей с 6-месячного возраста, обучающихся в образовательных организациях, беременных женщин используются вакцины, не содержащие консервантов.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Приказ Минздрава России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№        125н от 21.03.2014 г.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bookmarkStart w:id="0" w:name="2"/>
      <w:r w:rsidRPr="00A17223">
        <w:rPr>
          <w:rFonts w:ascii="Tahoma" w:eastAsia="Times New Roman" w:hAnsi="Tahoma" w:cs="Tahoma"/>
          <w:color w:val="924E32"/>
          <w:sz w:val="18"/>
          <w:szCs w:val="18"/>
          <w:u w:val="single"/>
          <w:lang w:eastAsia="ru-RU"/>
        </w:rPr>
        <w:t>ПРИЛОЖЕНИЕ 2</w:t>
      </w:r>
      <w:bookmarkEnd w:id="0"/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A17223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Календарь профилактических прививок по эпидемическим показаниям</w:t>
      </w:r>
    </w:p>
    <w:tbl>
      <w:tblPr>
        <w:tblW w:w="1011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17"/>
        <w:gridCol w:w="8293"/>
      </w:tblGrid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23" w:rsidRPr="00A17223" w:rsidRDefault="00A17223" w:rsidP="00A17223">
            <w:pPr>
              <w:spacing w:after="0" w:line="21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прививки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223" w:rsidRPr="00A17223" w:rsidRDefault="00A17223" w:rsidP="00A17223">
            <w:pPr>
              <w:spacing w:after="0" w:line="21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Категории граждан, подлежащих профилактическим прививкам по эпидемическим показаниям, и порядок их проведения</w:t>
            </w:r>
          </w:p>
        </w:tc>
      </w:tr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туляремии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Лица, проживающее на энзоотичных по туляремии территориях, а также прибывшие на эти территории лица, выполняющие следующие работы: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 xml:space="preserve">— сельскохозяйственные, гидромелиоративные, строительные, другие работы по выемке и 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дератизационные</w:t>
            </w:r>
            <w:proofErr w:type="spell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и дезинсекционные;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по лесозаготовке, расчистке и благоустройству леса, зон оздоровления и отдыха населения.</w:t>
            </w:r>
            <w:proofErr w:type="gram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* Лица, работающие с живыми культурами возбудителя туляремии.</w:t>
            </w:r>
          </w:p>
        </w:tc>
      </w:tr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lastRenderedPageBreak/>
              <w:t>Против чумы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Лица, </w:t>
            </w:r>
            <w:proofErr w:type="gram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проживающее</w:t>
            </w:r>
            <w:proofErr w:type="gram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на энзоотичных по чуме территориях.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Лица, работающие с живыми культурами возбудителя чумы.</w:t>
            </w:r>
          </w:p>
        </w:tc>
      </w:tr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бруцеллёза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В очагах козье-овечьего типа бруцеллёза лица, выполняющие следующие работы: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по заготовке, хранению, обработке сырья и продуктов животноводства, полученных из хозяйств, где регистрируются заболевания скота бруцеллёзом;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по убою скота, больного бруцеллёзом, заготовке и переработке полученных от него мяса и мясопродуктов.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Животноводы, ветеринарные работники, зоотехники в хозяйствах энзоотичных по бруцеллёзу.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Лица, работающие с живыми культурами возбудителя бруцеллёза.</w:t>
            </w:r>
          </w:p>
        </w:tc>
      </w:tr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сибирской язвы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Лица, выполняющие следующие работы: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 xml:space="preserve">— </w:t>
            </w:r>
            <w:proofErr w:type="spell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зооветработники</w:t>
            </w:r>
            <w:proofErr w:type="spell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и другие лица, профессионально занятые </w:t>
            </w:r>
            <w:proofErr w:type="spell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предубойным</w:t>
            </w:r>
            <w:proofErr w:type="spell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содержанием скота, а также убоем, снятием шкур и разделкой туш;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сбор, хранение, транспортировка и первичная обработка сырья животного происхождения;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сельскохозяйственные, гидромелиоративные, строительные, по выемке и перемещению грунта, заготовительные, промысловые, геологические, изыскательские, экспедиционные на энзоотичных по сибирской язве территориях.</w:t>
            </w:r>
            <w:proofErr w:type="gram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Лица, работающие с материалом, подозрительным на инфицирование возбудителем сибирской язвы.</w:t>
            </w:r>
          </w:p>
        </w:tc>
      </w:tr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бешенства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 профилактической целью вакцинируют лиц, имеющих высокий риск заражения бешенством: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 xml:space="preserve">— лица, </w:t>
            </w:r>
            <w:proofErr w:type="gram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работающее</w:t>
            </w:r>
            <w:proofErr w:type="gram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с „уличным“ вирусом бешенства;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ветеринарные работники; егеря, охотники, лесники; лица, выполняющие работы по отлову и содержанию животных.</w:t>
            </w:r>
          </w:p>
        </w:tc>
      </w:tr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лептоспироза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Лица, выполняющие следующие работы: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по заготовке, хранению, обработке сырья и продуктов животноводства, полученных из хозяйств, расположенных на энзоотичных по лептоспирозу территориях;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по убою скота, больного лептоспирозом, заготовке и переработке мяса и мясопродуктов, полученных от больных лептоспирозом животных;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по отлову и содержанию безнадзорных животных.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Лица, работающие с живыми культурами возбудителя лептоспироза.</w:t>
            </w:r>
          </w:p>
        </w:tc>
      </w:tr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клещевого вирусного энцефалита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Лица, проживающее на эндемичных по клещевому вирусному энцефалиту территориях, а также прибывшие на эти территории лица, выполняющие следующие работы: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 xml:space="preserve">— сельскохозяйственные, гидромелиоративные, строительные, по выемке и 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дератизационные</w:t>
            </w:r>
            <w:proofErr w:type="spell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и дезинсекционные;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по лесозаготовке, расчистке и благоустройству леса, зон оздоровления и отдыха населения.</w:t>
            </w:r>
            <w:proofErr w:type="gram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Лица, работающие с живыми культурами возбудителя клещевого энцефалита.</w:t>
            </w:r>
          </w:p>
        </w:tc>
      </w:tr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лихорадки 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Лица, выполняющие работы по заготовке, хранению, обработке сырья и продуктов животноводства, полученных из хозяйств, где регистрируются заболевания лихорадкой Ку скота;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Лица, выполняющие работы по заготовке, хранению и переработке сельскохозяйственной продукции на энзоотичных территориях по лихорадке Ку.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Лица, работающие с живыми культурами возбудителей лихорадки Ку.</w:t>
            </w:r>
          </w:p>
        </w:tc>
      </w:tr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жёлтой лихорадки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Лица, выезжающие за пределы Российской Федерации в энзоотичные по жёлтой лихорадке страны (регионы).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Лица, работающие с живыми культурами возбудителя жёлтой лихорадки.</w:t>
            </w:r>
          </w:p>
        </w:tc>
      </w:tr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холеры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Лица, выезжающие в неблагополучные по холере страны (регионы).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Население субъектов Российской Федерации в случае осложнения санитарно-эпидемиологической обстановки по холере в сопредельных странах, а также на территории Российской Федерации.</w:t>
            </w:r>
          </w:p>
        </w:tc>
      </w:tr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брюшного тифа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Лица, занятые в сфере коммунального благоустройства (работники, обслуживающие канализационные сети, сооружения и </w:t>
            </w:r>
            <w:proofErr w:type="gram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оборудование</w:t>
            </w:r>
            <w:proofErr w:type="gram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а также организаций, осуществляющих санитарную очистку населённых мест, сбор, транспортировку и утилизацию бытовых отходов.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</w:r>
            <w:proofErr w:type="gram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Лица</w:t>
            </w:r>
            <w:proofErr w:type="gram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работающие с живыми культурами возбудителей брюшного тифа.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Население, проживающее на территориях с хроническими водными эпидемиями брюшного тифа.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Лица, выезжающие в </w:t>
            </w:r>
            <w:proofErr w:type="spell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гиперэндемичные</w:t>
            </w:r>
            <w:proofErr w:type="spell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по брюшному тифу страны (регионы).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Контактные лица в очагах брюшного тифа по эпидемиологическим показаниям.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По эпидемическим показаниям прививки проводят при угрозе возникновения эпидемии или вспышки (стихийные бедствия, крупные аварии на водопроводной и канализационной сети), а также в период эпидемии, при этом в угрожаемом районе проводят массовую вакцинацию населения.</w:t>
            </w:r>
          </w:p>
        </w:tc>
      </w:tr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вирусного гепатита</w:t>
            </w:r>
            <w:proofErr w:type="gram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Лица, проживающие в регионах, неблагополучных по заболеваемости гепатитом</w:t>
            </w:r>
            <w:proofErr w:type="gram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, а также лица, подверженные профессиональному риску заражения (медицинские работники, работники сферы обслуживания населения, занятые на предприятиях пищевой промышленности, а также обслуживающие водопроводные и канализационные сооружения, оборудование и сети).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Лица, выезжающие в неблагополучные страны (регионы), где регистрируется вспышечная заболеваемость гепатитом А.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Контактные в очагах гепатита А.</w:t>
            </w:r>
          </w:p>
        </w:tc>
      </w:tr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lastRenderedPageBreak/>
              <w:t xml:space="preserve">Против </w:t>
            </w:r>
            <w:proofErr w:type="spell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шигеллёзов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Работники медицинских организаций (их структурных подразделений) инфекционного профиля.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Лица, занятые в сфере общественного питания и коммунального благоустройства.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Дети, посещающие дошкольные образовательные учреждения и отъезжающие в организации, осуществляющие лечение, оздоровление и (или) отдых (по показаниям).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 xml:space="preserve">По эпидемическим показаниям </w:t>
            </w:r>
            <w:proofErr w:type="gram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прививки</w:t>
            </w:r>
            <w:proofErr w:type="gram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проводя при угрозе возникновения эпидемии или вспышки (стихийные бедствия, крупные аварии на водопроводной и канализационной сети), а также в период эпидемии, при этом в угрожаемом районе проводят массовую вакцинацию населения.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 xml:space="preserve">Профилактические прививки предпочтительно проводить перед сезонным подъёмом заболеваемости </w:t>
            </w:r>
            <w:proofErr w:type="spell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шигеллёзами</w:t>
            </w:r>
            <w:proofErr w:type="spell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.</w:t>
            </w:r>
          </w:p>
        </w:tc>
      </w:tr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менингококковой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Дети и взрослые в очагах менингококковой инфекции, вызванной менингококками </w:t>
            </w:r>
            <w:proofErr w:type="spell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серогрупп</w:t>
            </w:r>
            <w:proofErr w:type="spellEnd"/>
            <w:proofErr w:type="gram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 или С.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 xml:space="preserve">Вакцинация проводится в эндемичных регионах, а также в случае эпидемии, вызванной менингококками </w:t>
            </w:r>
            <w:proofErr w:type="spell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серогрупп</w:t>
            </w:r>
            <w:proofErr w:type="spell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А или С.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Лица, подлежащие призыву на военную службу.</w:t>
            </w:r>
          </w:p>
        </w:tc>
      </w:tr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кори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Контактные лица без ограничения возраста из очагов заболевания, ранее не болевшие, не привитые и не имеющие сведений о профилактических прививках против кори, или однократно привитые.</w:t>
            </w:r>
          </w:p>
        </w:tc>
      </w:tr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гепатита</w:t>
            </w:r>
            <w:proofErr w:type="gram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Контактные лица из очагов заболевания, не болевшие, не привитые и не имеющие сведений о профилактических прививках против гепатита В.</w:t>
            </w:r>
          </w:p>
        </w:tc>
      </w:tr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дифтерии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Контактные лица из очагов заболевания, не болевшие, не привитые и не имеющие сведений о профилактических прививках против дифтерии.</w:t>
            </w:r>
          </w:p>
        </w:tc>
      </w:tr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эпидемического паротита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Контактные лица из очагов заболевания, не болевшие, не привитые и не имеющие сведений о профилактических прививках против эпидемического паротита.</w:t>
            </w:r>
          </w:p>
        </w:tc>
      </w:tr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полиомиелита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Контактные лица в очагах полиомиелита, в том числе вызванного диким </w:t>
            </w:r>
            <w:proofErr w:type="spell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полиовирусом</w:t>
            </w:r>
            <w:proofErr w:type="spell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 (</w:t>
            </w:r>
            <w:proofErr w:type="spell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илипри</w:t>
            </w:r>
            <w:proofErr w:type="spell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 подозрении на заболевание):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дети с 3 месяцев до 18 лет — однократно;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медицинские работники — однократно;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дети, прибывшие из эндемичных (неблагополучных) по полиомиелиту стран (регионов), с 3 месяцев до 15 лет — однократно (при наличии достоверных данных о предшествующих прививках) или трёхкратно (при их отсутствии);</w:t>
            </w:r>
            <w:proofErr w:type="gram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 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лица без определённого места жительства (при их выявлении) с 3 месяцев до 15 лет — однократно (при наличии достоверных данных о предшествующих прививках) или трёхкратн</w:t>
            </w:r>
            <w:proofErr w:type="gram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о(</w:t>
            </w:r>
            <w:proofErr w:type="gram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при их отсутствии);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>— лица, контактировавшие с прибывшими из эндемичных (неблагополучных) по полиомиелиту стран (регионов), с 3 месяцев жизни без ограничения возраста — однократно;</w:t>
            </w: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br/>
              <w:t xml:space="preserve">— лица, работающие с живым </w:t>
            </w:r>
            <w:proofErr w:type="spell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полиовирусом</w:t>
            </w:r>
            <w:proofErr w:type="spell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, с материалами, инфицированными (</w:t>
            </w:r>
            <w:proofErr w:type="spell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потенциальноинфицированными</w:t>
            </w:r>
            <w:proofErr w:type="spell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) диким вирусом полиомиелита без ограничения возраста, — однократно при приёме на работу</w:t>
            </w:r>
          </w:p>
        </w:tc>
      </w:tr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пневмококковой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Дети в возрасте от 2 до 5 лет, взрослые из групп риска, включая лиц, подлежащих призыву на военную службу.</w:t>
            </w:r>
          </w:p>
        </w:tc>
      </w:tr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Против </w:t>
            </w:r>
            <w:proofErr w:type="spell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ротавирусной</w:t>
            </w:r>
            <w:proofErr w:type="spell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 xml:space="preserve">Дети для активной вакцинации с целью профилактики заболеваний, вызываемых </w:t>
            </w:r>
            <w:proofErr w:type="spellStart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ротавирусами</w:t>
            </w:r>
            <w:proofErr w:type="spellEnd"/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.</w:t>
            </w:r>
          </w:p>
        </w:tc>
      </w:tr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ветряной оспы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Дети и взрослых из групп риска, включая лиц, подлежащих призыву на военную службу, ранее не привитые и не болевшие ветряной оспой.</w:t>
            </w:r>
          </w:p>
        </w:tc>
      </w:tr>
      <w:tr w:rsidR="00A17223" w:rsidRPr="00A17223" w:rsidTr="00A172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Против гемофильной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223" w:rsidRPr="00A17223" w:rsidRDefault="00A17223" w:rsidP="00A17223">
            <w:pPr>
              <w:spacing w:after="0" w:line="21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17223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Дети, не привитые на первом году жизни против гемофильной инфекции</w:t>
            </w:r>
          </w:p>
        </w:tc>
      </w:tr>
    </w:tbl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  <w:r w:rsidRPr="00A17223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Порядок проведения гражданам профилактических прививок в рамках календаря профилактических прививок по эпидемическим показаниям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1.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Профилактические прививки в рамках календаря профилактических прививок по эпидемическим показаниям проводятся гражданам в медицинских организациях при наличии у таких организаций лицензии, предусматривающей выполнение работ (услуг) по вакцинации (проведению профилактических прививок).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2.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Вакцинацию осуществляют медицинские работники, прошедшие </w:t>
      </w:r>
      <w:proofErr w:type="gram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обучение по вопросам</w:t>
      </w:r>
      <w:proofErr w:type="gram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применения иммунобиологических лекарственных препаратов для иммунопрофилактики инфекционных болезней, 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>правилам организации и техники проведения вакцинации, а также по вопросам оказания медицинской помощи в экстренной или неотложной форме.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3.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Вакцинация и ревакцинация в рамках календаря профилактических прививок по эпидемическим показаниям проводится иммунобиологическими лекарственными препаратами для иммунопрофилактики инфекционных болезней, зарегистрированными в соответствии с законодательством Российской Федерации, согласно инструкциям по их применению.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4.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Перед проведением профилактической прививки лицу, подлежащему вакцинации, или его законному представителю (опекунам) разъясняется необходимость иммунопрофилактики инфекционных болезней, возможные поствакцинальные реакции и осложнения, а также последствия отказа от иммунопрофилактики и оформляется информированное добровольное согласие на медицинское вмешательство в соответствии с требованиями статьи 20 Федерального закона от 21 ноября 2011 г. №        323-ФЗ</w:t>
      </w:r>
      <w:proofErr w:type="gram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„О</w:t>
      </w:r>
      <w:proofErr w:type="gram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б основах охраны здоровья граждан в Российской Федерации“.</w:t>
      </w:r>
      <w:r w:rsidRPr="00A17223">
        <w:rPr>
          <w:rFonts w:ascii="Tahoma" w:eastAsia="Times New Roman" w:hAnsi="Tahoma" w:cs="Tahoma"/>
          <w:color w:val="B22222"/>
          <w:sz w:val="18"/>
          <w:szCs w:val="18"/>
          <w:vertAlign w:val="superscript"/>
          <w:lang w:eastAsia="ru-RU"/>
        </w:rPr>
        <w:t>11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color w:val="B22222"/>
          <w:sz w:val="18"/>
          <w:szCs w:val="18"/>
          <w:vertAlign w:val="superscript"/>
          <w:lang w:eastAsia="ru-RU"/>
        </w:rPr>
        <w:t>11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Собрание законодательства Российской Федерации, 2012, №        26, ст. 3442; №        26, ст. 3446; 2013, №        27, ст. 3459; №        27, ст. 3477; №        30, ст. 4038; №        48, ст. 6165; №        52, ст. 6951.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5.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Все лица, которым должны проводиться профилактические прививки предварительно подвергаются осмотру врачом (фельдшером).</w:t>
      </w:r>
      <w:r w:rsidRPr="00A17223">
        <w:rPr>
          <w:rFonts w:ascii="Tahoma" w:eastAsia="Times New Roman" w:hAnsi="Tahoma" w:cs="Tahoma"/>
          <w:color w:val="B22222"/>
          <w:sz w:val="18"/>
          <w:szCs w:val="18"/>
          <w:vertAlign w:val="superscript"/>
          <w:lang w:eastAsia="ru-RU"/>
        </w:rPr>
        <w:t>12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color w:val="B22222"/>
          <w:sz w:val="18"/>
          <w:szCs w:val="18"/>
          <w:vertAlign w:val="superscript"/>
          <w:lang w:eastAsia="ru-RU"/>
        </w:rPr>
        <w:t>12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Приказ Министерства здравоохранения и социального развития Российской Федерации от 23 марта 2012 г. №        252н</w:t>
      </w:r>
      <w:proofErr w:type="gram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„О</w:t>
      </w:r>
      <w:proofErr w:type="gram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б утверждении Порядка возложения на фельдшера, акушерку руководителем медицинской организации при организации оказания первичной медико-санитарной помощи и скорой медицинской помощи отдельных функций лечащего врача по непосредственному оказанию медицинской помощи пациенту в период наблюдения за ним и его лечения, в том числе по назначению и применению лекарственных препаратов, включая наркотические лекарственные препараты и психотропные лекарственные препараты“ (</w:t>
      </w:r>
      <w:proofErr w:type="spell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зарегистрированМинистерством</w:t>
      </w:r>
      <w:proofErr w:type="spell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юстиции Российской Федерации 28 апреля 2012 г., регистрационный номер №        23971).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6.</w:t>
      </w: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Допускается введение вакцин в один день разными шприцами в разные участки тела. Интервал между прививками против разных инфекций при раздельном их проведении (не в один день) должен составлять не менее 1 месяца.</w:t>
      </w:r>
    </w:p>
    <w:p w:rsidR="00A17223" w:rsidRPr="00A17223" w:rsidRDefault="00A17223" w:rsidP="00A17223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7. Вакцинация против полиомиелита по эпидемическим показаниям проводится оральной полиомиелитной вакциной. Показаниями для проведения вакцинации детей оральной полиомиелитной вакциной по эпидемическим показаниям являются регистрация случая полиомиелита, вызванного диким </w:t>
      </w:r>
      <w:proofErr w:type="spell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полиовирусом</w:t>
      </w:r>
      <w:proofErr w:type="spell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, выделение дикого </w:t>
      </w:r>
      <w:proofErr w:type="spell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полиовируса</w:t>
      </w:r>
      <w:proofErr w:type="spell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 </w:t>
      </w:r>
      <w:proofErr w:type="spellStart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биопробах</w:t>
      </w:r>
      <w:proofErr w:type="spellEnd"/>
      <w:r w:rsidRPr="00A17223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человека или из объектов окружающей среды. В этих случаях вакцинация проводится в соответствии с 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 кратность её проведения.</w:t>
      </w:r>
    </w:p>
    <w:p w:rsidR="00474D83" w:rsidRDefault="00474D83">
      <w:bookmarkStart w:id="1" w:name="_GoBack"/>
      <w:bookmarkEnd w:id="1"/>
    </w:p>
    <w:sectPr w:rsidR="0047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23"/>
    <w:rsid w:val="00474D83"/>
    <w:rsid w:val="00A1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ivivka.spb.ru/vaccination/93/" TargetMode="External"/><Relationship Id="rId18" Type="http://schemas.openxmlformats.org/officeDocument/2006/relationships/hyperlink" Target="http://privivka.spb.ru/vaccination/89/" TargetMode="External"/><Relationship Id="rId26" Type="http://schemas.openxmlformats.org/officeDocument/2006/relationships/hyperlink" Target="http://privivka.spb.ru/vaccination/96/" TargetMode="External"/><Relationship Id="rId39" Type="http://schemas.openxmlformats.org/officeDocument/2006/relationships/hyperlink" Target="http://privivka.spb.ru/vaccination/78/" TargetMode="External"/><Relationship Id="rId21" Type="http://schemas.openxmlformats.org/officeDocument/2006/relationships/hyperlink" Target="http://privivka.spb.ru/vaccination/96/" TargetMode="External"/><Relationship Id="rId34" Type="http://schemas.openxmlformats.org/officeDocument/2006/relationships/hyperlink" Target="http://privivka.spb.ru/vaccination/98/" TargetMode="External"/><Relationship Id="rId42" Type="http://schemas.openxmlformats.org/officeDocument/2006/relationships/hyperlink" Target="http://privivka.spb.ru/vaccination/98/" TargetMode="External"/><Relationship Id="rId47" Type="http://schemas.openxmlformats.org/officeDocument/2006/relationships/hyperlink" Target="http://privivka.spb.ru/vaccination/106/" TargetMode="External"/><Relationship Id="rId50" Type="http://schemas.openxmlformats.org/officeDocument/2006/relationships/hyperlink" Target="http://privivka.spb.ru/vaccination/110/" TargetMode="External"/><Relationship Id="rId55" Type="http://schemas.openxmlformats.org/officeDocument/2006/relationships/hyperlink" Target="http://privivka.spb.ru/vaccination/79/" TargetMode="External"/><Relationship Id="rId63" Type="http://schemas.openxmlformats.org/officeDocument/2006/relationships/hyperlink" Target="http://privivka.spb.ru/vaccination/91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privivka.spb.ru/vaccination/11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ivivka.spb.ru/vaccination/82/" TargetMode="External"/><Relationship Id="rId29" Type="http://schemas.openxmlformats.org/officeDocument/2006/relationships/hyperlink" Target="http://privivka.spb.ru/vaccination/93/" TargetMode="External"/><Relationship Id="rId1" Type="http://schemas.openxmlformats.org/officeDocument/2006/relationships/styles" Target="styles.xml"/><Relationship Id="rId6" Type="http://schemas.openxmlformats.org/officeDocument/2006/relationships/hyperlink" Target="http://privivka.spb.ru/vaccination/110/" TargetMode="External"/><Relationship Id="rId11" Type="http://schemas.openxmlformats.org/officeDocument/2006/relationships/hyperlink" Target="http://privivka.spb.ru/vaccination/96/" TargetMode="External"/><Relationship Id="rId24" Type="http://schemas.openxmlformats.org/officeDocument/2006/relationships/hyperlink" Target="http://privivka.spb.ru/vaccination/83/" TargetMode="External"/><Relationship Id="rId32" Type="http://schemas.openxmlformats.org/officeDocument/2006/relationships/hyperlink" Target="http://privivka.spb.ru/vaccination/110/" TargetMode="External"/><Relationship Id="rId37" Type="http://schemas.openxmlformats.org/officeDocument/2006/relationships/hyperlink" Target="http://privivka.spb.ru/vaccination/82/" TargetMode="External"/><Relationship Id="rId40" Type="http://schemas.openxmlformats.org/officeDocument/2006/relationships/hyperlink" Target="http://privivka.spb.ru/vaccination/93/" TargetMode="External"/><Relationship Id="rId45" Type="http://schemas.openxmlformats.org/officeDocument/2006/relationships/hyperlink" Target="http://privivka.spb.ru/vaccines/?vid=26" TargetMode="External"/><Relationship Id="rId53" Type="http://schemas.openxmlformats.org/officeDocument/2006/relationships/hyperlink" Target="http://privivka.spb.ru/vaccination/97/" TargetMode="External"/><Relationship Id="rId58" Type="http://schemas.openxmlformats.org/officeDocument/2006/relationships/hyperlink" Target="http://privivka.spb.ru/vaccination/89/" TargetMode="External"/><Relationship Id="rId66" Type="http://schemas.openxmlformats.org/officeDocument/2006/relationships/hyperlink" Target="http://privivka.spb.ru/vaccination/77/" TargetMode="External"/><Relationship Id="rId5" Type="http://schemas.openxmlformats.org/officeDocument/2006/relationships/hyperlink" Target="http://privivka.spb.ru/vaccination/110/" TargetMode="External"/><Relationship Id="rId15" Type="http://schemas.openxmlformats.org/officeDocument/2006/relationships/hyperlink" Target="http://privivka.spb.ru/vaccination/83/" TargetMode="External"/><Relationship Id="rId23" Type="http://schemas.openxmlformats.org/officeDocument/2006/relationships/hyperlink" Target="http://privivka.spb.ru/vaccination/113/" TargetMode="External"/><Relationship Id="rId28" Type="http://schemas.openxmlformats.org/officeDocument/2006/relationships/hyperlink" Target="http://privivka.spb.ru/vaccination/78/" TargetMode="External"/><Relationship Id="rId36" Type="http://schemas.openxmlformats.org/officeDocument/2006/relationships/hyperlink" Target="http://privivka.spb.ru/vaccination/83/" TargetMode="External"/><Relationship Id="rId49" Type="http://schemas.openxmlformats.org/officeDocument/2006/relationships/hyperlink" Target="http://privivka.spb.ru/vaccination/110/" TargetMode="External"/><Relationship Id="rId57" Type="http://schemas.openxmlformats.org/officeDocument/2006/relationships/hyperlink" Target="http://privivka.spb.ru/vaccination/87/" TargetMode="External"/><Relationship Id="rId61" Type="http://schemas.openxmlformats.org/officeDocument/2006/relationships/hyperlink" Target="http://privivka.spb.ru/vaccination/86/" TargetMode="External"/><Relationship Id="rId10" Type="http://schemas.openxmlformats.org/officeDocument/2006/relationships/hyperlink" Target="http://privivka.spb.ru/vaccination/82/" TargetMode="External"/><Relationship Id="rId19" Type="http://schemas.openxmlformats.org/officeDocument/2006/relationships/hyperlink" Target="http://privivka.spb.ru/vaccination/78/" TargetMode="External"/><Relationship Id="rId31" Type="http://schemas.openxmlformats.org/officeDocument/2006/relationships/hyperlink" Target="http://privivka.spb.ru/vaccination/113/" TargetMode="External"/><Relationship Id="rId44" Type="http://schemas.openxmlformats.org/officeDocument/2006/relationships/hyperlink" Target="http://privivka.spb.ru/vaccination/106/" TargetMode="External"/><Relationship Id="rId52" Type="http://schemas.openxmlformats.org/officeDocument/2006/relationships/hyperlink" Target="http://privivka.spb.ru/vaccination/110/" TargetMode="External"/><Relationship Id="rId60" Type="http://schemas.openxmlformats.org/officeDocument/2006/relationships/hyperlink" Target="http://privivka.spb.ru/vaccination/86/" TargetMode="External"/><Relationship Id="rId65" Type="http://schemas.openxmlformats.org/officeDocument/2006/relationships/hyperlink" Target="http://privivka.spb.ru/vaccination/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vivka.spb.ru/vaccination/83/" TargetMode="External"/><Relationship Id="rId14" Type="http://schemas.openxmlformats.org/officeDocument/2006/relationships/hyperlink" Target="http://privivka.spb.ru/vaccination/96/" TargetMode="External"/><Relationship Id="rId22" Type="http://schemas.openxmlformats.org/officeDocument/2006/relationships/hyperlink" Target="http://privivka.spb.ru/vaccination/110/" TargetMode="External"/><Relationship Id="rId27" Type="http://schemas.openxmlformats.org/officeDocument/2006/relationships/hyperlink" Target="http://privivka.spb.ru/vaccination/113/" TargetMode="External"/><Relationship Id="rId30" Type="http://schemas.openxmlformats.org/officeDocument/2006/relationships/hyperlink" Target="http://privivka.spb.ru/vaccination/96/" TargetMode="External"/><Relationship Id="rId35" Type="http://schemas.openxmlformats.org/officeDocument/2006/relationships/hyperlink" Target="http://privivka.spb.ru/vaccination/97/" TargetMode="External"/><Relationship Id="rId43" Type="http://schemas.openxmlformats.org/officeDocument/2006/relationships/hyperlink" Target="http://privivka.spb.ru/vaccination/97/" TargetMode="External"/><Relationship Id="rId48" Type="http://schemas.openxmlformats.org/officeDocument/2006/relationships/hyperlink" Target="http://privivka.spb.ru/vaccination/106/" TargetMode="External"/><Relationship Id="rId56" Type="http://schemas.openxmlformats.org/officeDocument/2006/relationships/hyperlink" Target="http://privivka.spb.ru/vaccination/84/" TargetMode="External"/><Relationship Id="rId64" Type="http://schemas.openxmlformats.org/officeDocument/2006/relationships/hyperlink" Target="http://privivka.spb.ru/vaccination/92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privivka.spb.ru/vaccination/89/" TargetMode="External"/><Relationship Id="rId51" Type="http://schemas.openxmlformats.org/officeDocument/2006/relationships/hyperlink" Target="http://privivka.spb.ru/vaccination/11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ivivka.spb.ru/vaccination/78/" TargetMode="External"/><Relationship Id="rId17" Type="http://schemas.openxmlformats.org/officeDocument/2006/relationships/hyperlink" Target="http://privivka.spb.ru/vaccination/96/" TargetMode="External"/><Relationship Id="rId25" Type="http://schemas.openxmlformats.org/officeDocument/2006/relationships/hyperlink" Target="http://privivka.spb.ru/vaccination/82/" TargetMode="External"/><Relationship Id="rId33" Type="http://schemas.openxmlformats.org/officeDocument/2006/relationships/hyperlink" Target="http://privivka.spb.ru/vaccination/88/" TargetMode="External"/><Relationship Id="rId38" Type="http://schemas.openxmlformats.org/officeDocument/2006/relationships/hyperlink" Target="http://privivka.spb.ru/vaccination/96/" TargetMode="External"/><Relationship Id="rId46" Type="http://schemas.openxmlformats.org/officeDocument/2006/relationships/hyperlink" Target="http://privivka.spb.ru/vaccination/82/" TargetMode="External"/><Relationship Id="rId59" Type="http://schemas.openxmlformats.org/officeDocument/2006/relationships/hyperlink" Target="http://privivka.spb.ru/vaccination/85/" TargetMode="External"/><Relationship Id="rId67" Type="http://schemas.openxmlformats.org/officeDocument/2006/relationships/hyperlink" Target="http://privivka.spb.ru/vaccination/103/" TargetMode="External"/><Relationship Id="rId20" Type="http://schemas.openxmlformats.org/officeDocument/2006/relationships/hyperlink" Target="http://privivka.spb.ru/vaccination/93/" TargetMode="External"/><Relationship Id="rId41" Type="http://schemas.openxmlformats.org/officeDocument/2006/relationships/hyperlink" Target="http://privivka.spb.ru/vaccination/88/" TargetMode="External"/><Relationship Id="rId54" Type="http://schemas.openxmlformats.org/officeDocument/2006/relationships/hyperlink" Target="http://privivka.spb.ru/vaccination/98/" TargetMode="External"/><Relationship Id="rId62" Type="http://schemas.openxmlformats.org/officeDocument/2006/relationships/hyperlink" Target="http://privivka.spb.ru/vaccination/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4096</Words>
  <Characters>23351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2006-01-01T00:34:00Z</dcterms:created>
  <dcterms:modified xsi:type="dcterms:W3CDTF">2006-01-01T00:35:00Z</dcterms:modified>
</cp:coreProperties>
</file>